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color w:val="auto"/>
          <w:sz w:val="44"/>
          <w:szCs w:val="44"/>
        </w:rPr>
      </w:pPr>
      <w:r>
        <w:rPr>
          <w:rFonts w:ascii="黑体" w:eastAsia="黑体" w:cs="黑体" w:hAnsi="黑体" w:hint="eastAsia"/>
          <w:color w:val="auto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color w:val="auto"/>
          <w:sz w:val="44"/>
          <w:szCs w:val="44"/>
        </w:rPr>
      </w:pPr>
      <w:r>
        <w:rPr>
          <w:rFonts w:ascii="黑体" w:eastAsia="黑体" w:cs="黑体" w:hAnsi="黑体" w:hint="eastAsia"/>
          <w:color w:val="auto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color w:val="auto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 w:hint="eastAsia"/>
          <w:color w:val="auto"/>
          <w:sz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 xml:space="preserve">                 </w:t>
      </w:r>
      <w:r>
        <w:rPr>
          <w:rFonts w:ascii="仿宋" w:eastAsia="仿宋" w:cs="仿宋" w:hAnsi="仿宋" w:hint="eastAsia"/>
          <w:color w:val="auto"/>
          <w:sz w:val="32"/>
        </w:rPr>
        <w:t xml:space="preserve">   （202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</w:rPr>
        <w:t>）省德监减字第</w:t>
      </w:r>
      <w:r>
        <w:rPr>
          <w:rFonts w:ascii="仿宋" w:eastAsia="仿宋" w:cs="仿宋" w:hAnsi="仿宋"/>
          <w:color w:val="auto"/>
          <w:sz w:val="32"/>
        </w:rPr>
        <w:t>397</w:t>
      </w:r>
      <w:r>
        <w:rPr>
          <w:rFonts w:ascii="仿宋" w:eastAsia="仿宋" w:cs="仿宋" w:hAnsi="仿宋" w:hint="eastAsia"/>
          <w:color w:val="auto"/>
          <w:sz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 w:hint="eastAsia"/>
          <w:color w:val="auto"/>
          <w:sz w:val="32"/>
        </w:rPr>
      </w:pPr>
      <w:r>
        <w:rPr>
          <w:rFonts w:ascii="仿宋" w:eastAsia="仿宋" w:cs="仿宋" w:hAnsi="仿宋" w:hint="eastAsia"/>
          <w:color w:val="auto"/>
          <w:sz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邓粮进</w:t>
      </w:r>
      <w:r>
        <w:rPr>
          <w:rFonts w:ascii="仿宋" w:eastAsia="仿宋" w:cs="仿宋" w:hAnsi="仿宋" w:hint="eastAsia"/>
          <w:color w:val="auto"/>
          <w:sz w:val="32"/>
        </w:rPr>
        <w:t>，男，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1985</w:t>
      </w:r>
      <w:r>
        <w:rPr>
          <w:rFonts w:ascii="仿宋" w:eastAsia="仿宋" w:cs="仿宋" w:hAnsi="仿宋" w:hint="eastAsia"/>
          <w:color w:val="auto"/>
          <w:sz w:val="32"/>
        </w:rPr>
        <w:t>年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9</w:t>
      </w:r>
      <w:r>
        <w:rPr>
          <w:rFonts w:ascii="仿宋" w:eastAsia="仿宋" w:cs="仿宋" w:hAnsi="仿宋" w:hint="eastAsia"/>
          <w:color w:val="auto"/>
          <w:sz w:val="32"/>
        </w:rPr>
        <w:t>月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24</w:t>
      </w:r>
      <w:r>
        <w:rPr>
          <w:rFonts w:ascii="仿宋" w:eastAsia="仿宋" w:cs="仿宋" w:hAnsi="仿宋" w:hint="eastAsia"/>
          <w:color w:val="auto"/>
          <w:sz w:val="32"/>
        </w:rPr>
        <w:t>日出生，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初中</w:t>
      </w:r>
      <w:r>
        <w:rPr>
          <w:rFonts w:ascii="仿宋" w:eastAsia="仿宋" w:cs="仿宋" w:hAnsi="仿宋" w:hint="eastAsia"/>
          <w:color w:val="auto"/>
          <w:sz w:val="32"/>
        </w:rPr>
        <w:t>文化。现在四川省德阳监狱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二</w:t>
      </w:r>
      <w:r>
        <w:rPr>
          <w:rFonts w:ascii="仿宋" w:eastAsia="仿宋" w:cs="仿宋" w:hAnsi="仿宋" w:hint="eastAsia"/>
          <w:color w:val="auto"/>
          <w:sz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200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邓粮进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且在死刑缓期二年执行考验期内无故意犯罪。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为此，根据《中华人民共和国监狱法》第三十一条，《中华人民共和国刑法》第五十条，《中华人民共和国刑事诉讼法》第二百六十一条第二款的规定，建议对罪犯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邓粮进</w:t>
      </w:r>
      <w:r>
        <w:rPr>
          <w:rFonts w:ascii="仿宋" w:eastAsia="仿宋" w:cs="仿宋" w:hAnsi="仿宋" w:hint="eastAsia"/>
          <w:color w:val="auto"/>
          <w:szCs w:val="32"/>
        </w:rPr>
        <w:t>减为无期徒刑，剥夺政治权利终身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不变</w:t>
      </w:r>
      <w:r>
        <w:rPr>
          <w:rFonts w:ascii="仿宋" w:eastAsia="仿宋" w:cs="仿宋" w:hAnsi="仿宋" w:hint="eastAsia"/>
          <w:color w:val="auto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200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四川省高级人民法院</w:t>
      </w: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right="320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2025年8月1日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263</Characters>
  <Lines>0</Lines>
  <Paragraphs>14</Paragraphs>
  <CharactersWithSpaces>351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2025-08-06T07:19:37Z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